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0F53DD" w14:paraId="210406C3" w14:textId="77777777">
        <w:trPr>
          <w:jc w:val="center"/>
        </w:trPr>
        <w:tc>
          <w:tcPr>
            <w:tcW w:w="9936" w:type="dxa"/>
            <w:shd w:val="clear" w:color="auto" w:fill="1E3D59"/>
            <w:tcMar>
              <w:top w:w="250" w:type="dxa"/>
              <w:left w:w="200" w:type="dxa"/>
              <w:bottom w:w="250" w:type="dxa"/>
              <w:right w:w="200" w:type="dxa"/>
            </w:tcMar>
          </w:tcPr>
          <w:p w14:paraId="7CDCC8F6" w14:textId="77777777" w:rsidR="000F53DD" w:rsidRDefault="00000000">
            <w:pPr>
              <w:spacing w:after="80"/>
            </w:pPr>
            <w:r>
              <w:rPr>
                <w:b/>
                <w:color w:val="FFFFFF"/>
                <w:sz w:val="30"/>
              </w:rPr>
              <w:t>ANALIZA TRAJNOSTNIH PRAKS IN POSLOVANJA TURISTIČNIH PONUDNIKOV</w:t>
            </w:r>
          </w:p>
          <w:p w14:paraId="3D167144" w14:textId="77777777" w:rsidR="000F53DD" w:rsidRDefault="00000000">
            <w:pPr>
              <w:spacing w:after="0"/>
            </w:pPr>
            <w:r>
              <w:rPr>
                <w:color w:val="B3C2D1"/>
                <w:sz w:val="22"/>
              </w:rPr>
              <w:t>Raziskovalno poročilo na podlagi anketiranja turističnih podjetij in ponudnikov</w:t>
            </w:r>
          </w:p>
        </w:tc>
      </w:tr>
    </w:tbl>
    <w:p w14:paraId="32841E23" w14:textId="77777777" w:rsidR="000F53DD" w:rsidRDefault="000F53D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0F53DD" w14:paraId="616F49A5" w14:textId="77777777">
        <w:trPr>
          <w:jc w:val="center"/>
        </w:trPr>
        <w:tc>
          <w:tcPr>
            <w:tcW w:w="331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850081" w14:textId="77777777" w:rsidR="000F53DD" w:rsidRDefault="00000000">
            <w:pPr>
              <w:spacing w:after="40"/>
            </w:pPr>
            <w:r>
              <w:rPr>
                <w:b/>
                <w:color w:val="7F8C8D"/>
                <w:sz w:val="16"/>
              </w:rPr>
              <w:t>ŠTEVILO PODJETIJ</w:t>
            </w:r>
            <w:r>
              <w:rPr>
                <w:b/>
                <w:color w:val="7F8C8D"/>
                <w:sz w:val="16"/>
              </w:rPr>
              <w:br/>
            </w:r>
            <w:r>
              <w:rPr>
                <w:b/>
                <w:color w:val="1E3D59"/>
                <w:sz w:val="19"/>
              </w:rPr>
              <w:t>N = 7 sodelujočih</w:t>
            </w:r>
          </w:p>
        </w:tc>
        <w:tc>
          <w:tcPr>
            <w:tcW w:w="331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711BE5" w14:textId="77777777" w:rsidR="000F53DD" w:rsidRDefault="00000000">
            <w:pPr>
              <w:spacing w:after="40"/>
            </w:pPr>
            <w:r>
              <w:rPr>
                <w:b/>
                <w:color w:val="7F8C8D"/>
                <w:sz w:val="16"/>
              </w:rPr>
              <w:t>POVPR. TRADICIJA</w:t>
            </w:r>
            <w:r>
              <w:rPr>
                <w:b/>
                <w:color w:val="7F8C8D"/>
                <w:sz w:val="16"/>
              </w:rPr>
              <w:br/>
            </w:r>
            <w:r>
              <w:rPr>
                <w:b/>
                <w:color w:val="1E3D59"/>
                <w:sz w:val="19"/>
              </w:rPr>
              <w:t>11,9 leta delovanja</w:t>
            </w:r>
          </w:p>
        </w:tc>
        <w:tc>
          <w:tcPr>
            <w:tcW w:w="331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480186" w14:textId="77777777" w:rsidR="000F53DD" w:rsidRDefault="00000000">
            <w:pPr>
              <w:spacing w:after="40"/>
            </w:pPr>
            <w:r>
              <w:rPr>
                <w:b/>
                <w:color w:val="7F8C8D"/>
                <w:sz w:val="16"/>
              </w:rPr>
              <w:t>POVPR. ZAPOSLENIH</w:t>
            </w:r>
            <w:r>
              <w:rPr>
                <w:b/>
                <w:color w:val="7F8C8D"/>
                <w:sz w:val="16"/>
              </w:rPr>
              <w:br/>
            </w:r>
            <w:r>
              <w:rPr>
                <w:b/>
                <w:color w:val="1E3D59"/>
                <w:sz w:val="19"/>
              </w:rPr>
              <w:t>3,6 redno / 1,6 začasno</w:t>
            </w:r>
          </w:p>
        </w:tc>
      </w:tr>
    </w:tbl>
    <w:p w14:paraId="0569223A" w14:textId="77777777" w:rsidR="000F53DD" w:rsidRDefault="000F53DD"/>
    <w:p w14:paraId="2D52B209" w14:textId="77777777" w:rsidR="000F53DD" w:rsidRDefault="00000000">
      <w:r>
        <w:t>To poročilo prikazuje izsledke kvantitativne in vsebinske analize trajnostnih praks med sodelujočimi turističnimi podjetji in ponudniki. Analiza zajema profile podjetij, spremljanje in varčevanje z viri (energija, voda, odpadki), lokalno povezovanje, družbeno odgovornost ter identifikacijo izzivov in priložnosti za nadaljnji zeleni prehod.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48"/>
        <w:gridCol w:w="2448"/>
        <w:gridCol w:w="2448"/>
        <w:gridCol w:w="2448"/>
      </w:tblGrid>
      <w:tr w:rsidR="000F53DD" w14:paraId="6B5A671B" w14:textId="77777777">
        <w:trPr>
          <w:jc w:val="center"/>
        </w:trPr>
        <w:tc>
          <w:tcPr>
            <w:tcW w:w="2448" w:type="dxa"/>
            <w:tcBorders>
              <w:top w:val="single" w:sz="4" w:space="0" w:color="E2E8F0"/>
              <w:left w:val="single" w:sz="4" w:space="0" w:color="E2E8F0"/>
              <w:bottom w:val="single" w:sz="4" w:space="0" w:color="E2E8F0"/>
              <w:right w:val="single" w:sz="4" w:space="0" w:color="E2E8F0"/>
            </w:tcBorders>
            <w:shd w:val="clear" w:color="auto" w:fill="FFFFFF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5884C821" w14:textId="77777777" w:rsidR="000F53DD" w:rsidRDefault="00000000">
            <w:pPr>
              <w:spacing w:after="40"/>
              <w:jc w:val="center"/>
            </w:pPr>
            <w:r>
              <w:rPr>
                <w:b/>
                <w:color w:val="17B978"/>
                <w:sz w:val="28"/>
              </w:rPr>
              <w:t>40 %</w:t>
            </w:r>
            <w:r>
              <w:rPr>
                <w:b/>
                <w:color w:val="17B978"/>
                <w:sz w:val="28"/>
              </w:rPr>
              <w:br/>
            </w:r>
            <w:r>
              <w:rPr>
                <w:color w:val="64748B"/>
                <w:sz w:val="16"/>
              </w:rPr>
              <w:t>Več kot 75% OVE</w:t>
            </w:r>
          </w:p>
        </w:tc>
        <w:tc>
          <w:tcPr>
            <w:tcW w:w="2448" w:type="dxa"/>
            <w:tcBorders>
              <w:top w:val="single" w:sz="4" w:space="0" w:color="E2E8F0"/>
              <w:left w:val="single" w:sz="4" w:space="0" w:color="E2E8F0"/>
              <w:bottom w:val="single" w:sz="4" w:space="0" w:color="E2E8F0"/>
              <w:right w:val="single" w:sz="4" w:space="0" w:color="E2E8F0"/>
            </w:tcBorders>
            <w:shd w:val="clear" w:color="auto" w:fill="FFFFFF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78FE710D" w14:textId="77777777" w:rsidR="000F53DD" w:rsidRDefault="00000000">
            <w:pPr>
              <w:spacing w:after="40"/>
              <w:jc w:val="center"/>
            </w:pPr>
            <w:r>
              <w:rPr>
                <w:b/>
                <w:color w:val="17B978"/>
                <w:sz w:val="28"/>
              </w:rPr>
              <w:t>100 %</w:t>
            </w:r>
            <w:r>
              <w:rPr>
                <w:b/>
                <w:color w:val="17B978"/>
                <w:sz w:val="28"/>
              </w:rPr>
              <w:br/>
            </w:r>
            <w:r>
              <w:rPr>
                <w:color w:val="64748B"/>
                <w:sz w:val="16"/>
              </w:rPr>
              <w:t>&gt;50% lokalnih storitev</w:t>
            </w:r>
          </w:p>
        </w:tc>
        <w:tc>
          <w:tcPr>
            <w:tcW w:w="2448" w:type="dxa"/>
            <w:tcBorders>
              <w:top w:val="single" w:sz="4" w:space="0" w:color="E2E8F0"/>
              <w:left w:val="single" w:sz="4" w:space="0" w:color="E2E8F0"/>
              <w:bottom w:val="single" w:sz="4" w:space="0" w:color="E2E8F0"/>
              <w:right w:val="single" w:sz="4" w:space="0" w:color="E2E8F0"/>
            </w:tcBorders>
            <w:shd w:val="clear" w:color="auto" w:fill="FFFFFF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54440279" w14:textId="77777777" w:rsidR="000F53DD" w:rsidRDefault="00000000">
            <w:pPr>
              <w:spacing w:after="40"/>
              <w:jc w:val="center"/>
            </w:pPr>
            <w:r>
              <w:rPr>
                <w:b/>
                <w:color w:val="17B978"/>
                <w:sz w:val="28"/>
              </w:rPr>
              <w:t>67 %</w:t>
            </w:r>
            <w:r>
              <w:rPr>
                <w:b/>
                <w:color w:val="17B978"/>
                <w:sz w:val="28"/>
              </w:rPr>
              <w:br/>
            </w:r>
            <w:r>
              <w:rPr>
                <w:color w:val="64748B"/>
                <w:sz w:val="16"/>
              </w:rPr>
              <w:t>Pravilniki in napredovanje (polno)</w:t>
            </w:r>
          </w:p>
        </w:tc>
        <w:tc>
          <w:tcPr>
            <w:tcW w:w="2448" w:type="dxa"/>
            <w:tcBorders>
              <w:top w:val="single" w:sz="4" w:space="0" w:color="E2E8F0"/>
              <w:left w:val="single" w:sz="4" w:space="0" w:color="E2E8F0"/>
              <w:bottom w:val="single" w:sz="4" w:space="0" w:color="E2E8F0"/>
              <w:right w:val="single" w:sz="4" w:space="0" w:color="E2E8F0"/>
            </w:tcBorders>
            <w:shd w:val="clear" w:color="auto" w:fill="FFFFFF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501FB472" w14:textId="77777777" w:rsidR="000F53DD" w:rsidRDefault="00000000">
            <w:pPr>
              <w:spacing w:after="40"/>
              <w:jc w:val="center"/>
            </w:pPr>
            <w:r>
              <w:rPr>
                <w:b/>
                <w:color w:val="17B978"/>
                <w:sz w:val="28"/>
              </w:rPr>
              <w:t>50 %</w:t>
            </w:r>
            <w:r>
              <w:rPr>
                <w:b/>
                <w:color w:val="17B978"/>
                <w:sz w:val="28"/>
              </w:rPr>
              <w:br/>
            </w:r>
            <w:r>
              <w:rPr>
                <w:color w:val="64748B"/>
                <w:sz w:val="16"/>
              </w:rPr>
              <w:t>Lokalni pridelki (&gt;50%)</w:t>
            </w:r>
          </w:p>
        </w:tc>
      </w:tr>
    </w:tbl>
    <w:p w14:paraId="06327405" w14:textId="77777777" w:rsidR="000F53DD" w:rsidRDefault="000F53DD"/>
    <w:p w14:paraId="58998502" w14:textId="77777777" w:rsidR="000F53DD" w:rsidRDefault="00000000">
      <w:pPr>
        <w:spacing w:before="280"/>
      </w:pPr>
      <w:r>
        <w:rPr>
          <w:b/>
          <w:color w:val="1E3D59"/>
          <w:sz w:val="26"/>
        </w:rPr>
        <w:t>1. Profil sodelujočih podjetij in struktura zaposlenih</w:t>
      </w:r>
    </w:p>
    <w:p w14:paraId="1490897A" w14:textId="77777777" w:rsidR="000F53DD" w:rsidRDefault="00000000">
      <w:r>
        <w:t>V raziskavi je sodelovalo 7 turističnih podjetij oz. ponudnikov. Raziskovani vzorec predstavlja raznolike akterje v turističnem sektorju – od agencij in vodnikov do nastanitvenih obratov ter ponudnikov rekreacije na prostem.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</w:tblGrid>
      <w:tr w:rsidR="000F53DD" w14:paraId="2BEF98E2" w14:textId="77777777">
        <w:trPr>
          <w:jc w:val="center"/>
        </w:trPr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F6C871" w14:textId="77777777" w:rsidR="000F53DD" w:rsidRDefault="00000000">
            <w:r>
              <w:rPr>
                <w:b/>
                <w:color w:val="FFFFFF"/>
                <w:sz w:val="18"/>
              </w:rPr>
              <w:t>Dejavnost podjetja (Q1)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745698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Frekvenca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2AB9E6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Odstotek (%)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D2A5445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Kumulativa (%)</w:t>
            </w:r>
          </w:p>
        </w:tc>
      </w:tr>
      <w:tr w:rsidR="000F53DD" w14:paraId="2B6B10C7" w14:textId="77777777">
        <w:trPr>
          <w:jc w:val="center"/>
        </w:trPr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C8EA53" w14:textId="77777777" w:rsidR="000F53DD" w:rsidRDefault="00000000">
            <w:r>
              <w:rPr>
                <w:sz w:val="18"/>
              </w:rPr>
              <w:t>Turistična agencija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D22BEC" w14:textId="77777777" w:rsidR="000F53DD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EBD84D" w14:textId="77777777" w:rsidR="000F53DD" w:rsidRDefault="00000000">
            <w:pPr>
              <w:jc w:val="center"/>
            </w:pPr>
            <w:r>
              <w:rPr>
                <w:sz w:val="18"/>
              </w:rPr>
              <w:t>43 %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D5B41A" w14:textId="77777777" w:rsidR="000F53DD" w:rsidRDefault="00000000">
            <w:pPr>
              <w:jc w:val="center"/>
            </w:pPr>
            <w:r>
              <w:rPr>
                <w:sz w:val="18"/>
              </w:rPr>
              <w:t>43 %</w:t>
            </w:r>
          </w:p>
        </w:tc>
      </w:tr>
      <w:tr w:rsidR="000F53DD" w14:paraId="6768ADB2" w14:textId="77777777">
        <w:trPr>
          <w:jc w:val="center"/>
        </w:trPr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6F7923" w14:textId="77777777" w:rsidR="000F53DD" w:rsidRDefault="00000000">
            <w:r>
              <w:rPr>
                <w:sz w:val="18"/>
              </w:rPr>
              <w:t>Turistični vodniki / vodništvo (drugo)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86FB32" w14:textId="77777777" w:rsidR="000F53DD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5F91F2" w14:textId="77777777" w:rsidR="000F53DD" w:rsidRDefault="00000000">
            <w:pPr>
              <w:jc w:val="center"/>
            </w:pPr>
            <w:r>
              <w:rPr>
                <w:sz w:val="18"/>
              </w:rPr>
              <w:t>29 %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6EB028" w14:textId="77777777" w:rsidR="000F53DD" w:rsidRDefault="00000000">
            <w:pPr>
              <w:jc w:val="center"/>
            </w:pPr>
            <w:r>
              <w:rPr>
                <w:sz w:val="18"/>
              </w:rPr>
              <w:t>71 %</w:t>
            </w:r>
          </w:p>
        </w:tc>
      </w:tr>
      <w:tr w:rsidR="000F53DD" w14:paraId="2DE02E43" w14:textId="77777777">
        <w:trPr>
          <w:jc w:val="center"/>
        </w:trPr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DC6439" w14:textId="77777777" w:rsidR="000F53DD" w:rsidRDefault="00000000">
            <w:r>
              <w:rPr>
                <w:sz w:val="18"/>
              </w:rPr>
              <w:t>Nastanitve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FDC163" w14:textId="77777777" w:rsidR="000F53DD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F0D545" w14:textId="77777777" w:rsidR="000F53DD" w:rsidRDefault="00000000">
            <w:pPr>
              <w:jc w:val="center"/>
            </w:pPr>
            <w:r>
              <w:rPr>
                <w:sz w:val="18"/>
              </w:rPr>
              <w:t>14 %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329DE5" w14:textId="77777777" w:rsidR="000F53DD" w:rsidRDefault="00000000">
            <w:pPr>
              <w:jc w:val="center"/>
            </w:pPr>
            <w:r>
              <w:rPr>
                <w:sz w:val="18"/>
              </w:rPr>
              <w:t>85 %</w:t>
            </w:r>
          </w:p>
        </w:tc>
      </w:tr>
      <w:tr w:rsidR="000F53DD" w14:paraId="1ACFE09E" w14:textId="77777777">
        <w:trPr>
          <w:jc w:val="center"/>
        </w:trPr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5B928A" w14:textId="77777777" w:rsidR="000F53DD" w:rsidRDefault="00000000">
            <w:r>
              <w:rPr>
                <w:sz w:val="18"/>
              </w:rPr>
              <w:t>Ponudnik rekreacije na prostem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117593" w14:textId="77777777" w:rsidR="000F53DD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D86025" w14:textId="77777777" w:rsidR="000F53DD" w:rsidRDefault="00000000">
            <w:pPr>
              <w:jc w:val="center"/>
            </w:pPr>
            <w:r>
              <w:rPr>
                <w:sz w:val="18"/>
              </w:rPr>
              <w:t>14 %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ED39D2" w14:textId="77777777" w:rsidR="000F53DD" w:rsidRDefault="00000000">
            <w:pPr>
              <w:jc w:val="center"/>
            </w:pPr>
            <w:r>
              <w:rPr>
                <w:sz w:val="18"/>
              </w:rPr>
              <w:t>100 %</w:t>
            </w:r>
          </w:p>
        </w:tc>
      </w:tr>
      <w:tr w:rsidR="000F53DD" w14:paraId="514A74A5" w14:textId="77777777">
        <w:trPr>
          <w:jc w:val="center"/>
        </w:trPr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E8D122" w14:textId="77777777" w:rsidR="000F53DD" w:rsidRDefault="00000000">
            <w:r>
              <w:rPr>
                <w:sz w:val="18"/>
              </w:rPr>
              <w:t>Gostinstvo, prevoz, zabava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ABE6FD" w14:textId="77777777" w:rsidR="000F53DD" w:rsidRDefault="00000000">
            <w:pPr>
              <w:jc w:val="center"/>
            </w:pPr>
            <w:r>
              <w:rPr>
                <w:sz w:val="18"/>
              </w:rPr>
              <w:t>0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C91F06" w14:textId="77777777" w:rsidR="000F53DD" w:rsidRDefault="00000000">
            <w:pPr>
              <w:jc w:val="center"/>
            </w:pPr>
            <w:r>
              <w:rPr>
                <w:sz w:val="18"/>
              </w:rPr>
              <w:t>0 %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B7FBF9" w14:textId="77777777" w:rsidR="000F53DD" w:rsidRDefault="00000000">
            <w:pPr>
              <w:jc w:val="center"/>
            </w:pPr>
            <w:r>
              <w:rPr>
                <w:sz w:val="18"/>
              </w:rPr>
              <w:t>100 %</w:t>
            </w:r>
          </w:p>
        </w:tc>
      </w:tr>
      <w:tr w:rsidR="000F53DD" w14:paraId="7039D536" w14:textId="77777777">
        <w:trPr>
          <w:jc w:val="center"/>
        </w:trPr>
        <w:tc>
          <w:tcPr>
            <w:tcW w:w="2484" w:type="dxa"/>
            <w:shd w:val="clear" w:color="auto" w:fill="E2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69BB14" w14:textId="77777777" w:rsidR="000F53DD" w:rsidRDefault="00000000">
            <w:r>
              <w:rPr>
                <w:b/>
                <w:sz w:val="18"/>
              </w:rPr>
              <w:t>Skupaj</w:t>
            </w:r>
          </w:p>
        </w:tc>
        <w:tc>
          <w:tcPr>
            <w:tcW w:w="2484" w:type="dxa"/>
            <w:shd w:val="clear" w:color="auto" w:fill="E2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3ABFA3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484" w:type="dxa"/>
            <w:shd w:val="clear" w:color="auto" w:fill="E2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D6B418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100 %</w:t>
            </w:r>
          </w:p>
        </w:tc>
        <w:tc>
          <w:tcPr>
            <w:tcW w:w="2484" w:type="dxa"/>
            <w:shd w:val="clear" w:color="auto" w:fill="E2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C7DB6E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100 %</w:t>
            </w:r>
          </w:p>
        </w:tc>
      </w:tr>
    </w:tbl>
    <w:p w14:paraId="75B5790B" w14:textId="77777777" w:rsidR="000F53DD" w:rsidRDefault="000F53DD"/>
    <w:p w14:paraId="4DF181B9" w14:textId="77777777" w:rsidR="000F53DD" w:rsidRDefault="00000000">
      <w:pPr>
        <w:spacing w:before="200" w:after="80"/>
      </w:pPr>
      <w:r>
        <w:rPr>
          <w:b/>
          <w:color w:val="0F766E"/>
          <w:sz w:val="22"/>
        </w:rPr>
        <w:t>Tradicionalnost in zaposlitvena struktura</w:t>
      </w:r>
    </w:p>
    <w:p w14:paraId="450A713F" w14:textId="77777777" w:rsidR="000F53DD" w:rsidRDefault="00000000">
      <w:r>
        <w:t>Podjetja imajo bogato tradicijo delovanja – povprečna življenjska doba podjetij v vzorcu znaša 11,9 leta (SD = 11,3), pri čemer najmlajše podjetje deluje 1 leto, najstarejše pa kar 30 let.</w:t>
      </w:r>
      <w:r>
        <w:br/>
      </w:r>
      <w:r>
        <w:br/>
        <w:t>Glede na zaposlitveno strukturo podjetja povprečno zaposlujejo:</w:t>
      </w:r>
      <w:r>
        <w:br/>
      </w:r>
    </w:p>
    <w:p w14:paraId="3CA74BF6" w14:textId="77777777" w:rsidR="000F53DD" w:rsidRDefault="00000000">
      <w:pPr>
        <w:pStyle w:val="Oznaenseznam"/>
      </w:pPr>
      <w:r>
        <w:rPr>
          <w:b/>
        </w:rPr>
        <w:t xml:space="preserve">Redno zaposleni: </w:t>
      </w:r>
      <w:r>
        <w:t>Povprečno 3,6 osebe na podjetje (za polni ali krajši delovni čas).</w:t>
      </w:r>
    </w:p>
    <w:p w14:paraId="791A008B" w14:textId="77777777" w:rsidR="000F53DD" w:rsidRDefault="00000000">
      <w:pPr>
        <w:pStyle w:val="Oznaenseznam"/>
      </w:pPr>
      <w:r>
        <w:rPr>
          <w:b/>
        </w:rPr>
        <w:lastRenderedPageBreak/>
        <w:t xml:space="preserve">Začasni delavci: </w:t>
      </w:r>
      <w:r>
        <w:t>Povprečno 1,6 osebe (študenti, upokojenci, sezonski delavci, pomoč družine).</w:t>
      </w:r>
    </w:p>
    <w:p w14:paraId="7593CF13" w14:textId="77777777" w:rsidR="000F53DD" w:rsidRDefault="00000000">
      <w:pPr>
        <w:pStyle w:val="Oznaenseznam"/>
      </w:pPr>
      <w:r>
        <w:rPr>
          <w:b/>
        </w:rPr>
        <w:t xml:space="preserve">Pripravniki: </w:t>
      </w:r>
      <w:r>
        <w:t>0,0 (vprašana podjetja trenutno nimajo pripravnikov).</w:t>
      </w:r>
    </w:p>
    <w:p w14:paraId="427C1266" w14:textId="77777777" w:rsidR="000F53DD" w:rsidRDefault="000F53DD"/>
    <w:p w14:paraId="2CDAAEB2" w14:textId="77777777" w:rsidR="000F53DD" w:rsidRDefault="00000000">
      <w:pPr>
        <w:spacing w:before="280"/>
      </w:pPr>
      <w:r>
        <w:rPr>
          <w:b/>
          <w:color w:val="1E3D59"/>
          <w:sz w:val="26"/>
        </w:rPr>
        <w:t>2. Ocena izvajanja trajnostnih praks (Samoocena podjetij)</w:t>
      </w:r>
    </w:p>
    <w:p w14:paraId="5C6C9BC2" w14:textId="77777777" w:rsidR="000F53DD" w:rsidRDefault="00000000">
      <w:r>
        <w:t>Sodelujoča podjetja so ocenjevala stopnjo uveljavitve posameznih trajnostnih ukrepov na lestvici od 0 do 4 (0 = ni relevantno, 1 = ne razmišljamo, 2 = razmišljamo, 3 = da, a lahko napredujemo, 4 = da, v polni meri). Analiza 6 veljavnih enot razkriva močna področja in področja, ki potrebujejo dodatno spodbudo.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05"/>
        <w:gridCol w:w="1609"/>
        <w:gridCol w:w="1630"/>
        <w:gridCol w:w="1640"/>
        <w:gridCol w:w="1609"/>
        <w:gridCol w:w="1643"/>
      </w:tblGrid>
      <w:tr w:rsidR="000F53DD" w14:paraId="44C82376" w14:textId="77777777">
        <w:trPr>
          <w:jc w:val="center"/>
        </w:trPr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04B0D" w14:textId="77777777" w:rsidR="000F53DD" w:rsidRDefault="00000000">
            <w:r>
              <w:rPr>
                <w:b/>
                <w:color w:val="FFFFFF"/>
                <w:sz w:val="17"/>
              </w:rPr>
              <w:t>Področje / Ukrep (Q5)</w:t>
            </w:r>
          </w:p>
        </w:tc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C08F1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4 (v polni meri)</w:t>
            </w:r>
          </w:p>
        </w:tc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FC982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3 (napredek)</w:t>
            </w:r>
          </w:p>
        </w:tc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276C3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2 (razmišljamo)</w:t>
            </w:r>
          </w:p>
        </w:tc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2FE52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1 (ne)</w:t>
            </w:r>
          </w:p>
        </w:tc>
        <w:tc>
          <w:tcPr>
            <w:tcW w:w="1656" w:type="dxa"/>
            <w:shd w:val="clear" w:color="auto" w:fill="1E3D5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33D6C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0 (nerelevantno)</w:t>
            </w:r>
          </w:p>
        </w:tc>
      </w:tr>
      <w:tr w:rsidR="000F53DD" w14:paraId="2D5F6DF6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054DCB" w14:textId="77777777" w:rsidR="000F53DD" w:rsidRDefault="00000000">
            <w:r>
              <w:rPr>
                <w:sz w:val="17"/>
              </w:rPr>
              <w:t>2.16 Pravilnik napredovanja in plač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F863C1C" w14:textId="77777777" w:rsidR="000F53DD" w:rsidRDefault="00000000">
            <w:pPr>
              <w:jc w:val="center"/>
            </w:pPr>
            <w:r>
              <w:rPr>
                <w:sz w:val="17"/>
              </w:rPr>
              <w:t>4 (67%)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BCF66F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B46C841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57D4DD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31FFDFB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</w:tr>
      <w:tr w:rsidR="000F53DD" w14:paraId="5B6CFF66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0A3FDF" w14:textId="77777777" w:rsidR="000F53DD" w:rsidRDefault="00000000">
            <w:r>
              <w:rPr>
                <w:sz w:val="17"/>
              </w:rPr>
              <w:t>2.1 Redno spremljanje porabe energije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412F1E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CB97B52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2BCE86E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2DB6AD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8C5E848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</w:tr>
      <w:tr w:rsidR="000F53DD" w14:paraId="417A5C74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F8EE5F6" w14:textId="77777777" w:rsidR="000F53DD" w:rsidRDefault="00000000">
            <w:r>
              <w:rPr>
                <w:sz w:val="17"/>
              </w:rPr>
              <w:t>2.2 Ukrepi za zmanjšanje porabe energije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818FC83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19C080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9ECD799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17E75E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613D260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</w:tr>
      <w:tr w:rsidR="000F53DD" w14:paraId="5486BADC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39B518" w14:textId="77777777" w:rsidR="000F53DD" w:rsidRDefault="00000000">
            <w:r>
              <w:rPr>
                <w:sz w:val="17"/>
              </w:rPr>
              <w:t>2.3 Uporaba obnovljivih virov energije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6E52339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F8522D1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1956EFD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CCFA930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59A8901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45AC992D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BB7F69" w14:textId="77777777" w:rsidR="000F53DD" w:rsidRDefault="00000000">
            <w:r>
              <w:rPr>
                <w:sz w:val="17"/>
              </w:rPr>
              <w:t>2.4 Redno spremljanje porabe vode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713B1CA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99879A1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97F213A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2AA522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80DD4E0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5F464B28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97D1A4F" w14:textId="77777777" w:rsidR="000F53DD" w:rsidRDefault="00000000">
            <w:r>
              <w:rPr>
                <w:sz w:val="17"/>
              </w:rPr>
              <w:t>2.8 Ločevanje odpadkov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66FCB4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CF93B1D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05DAA72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6081E5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642E05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019D06CE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6BE3977" w14:textId="77777777" w:rsidR="000F53DD" w:rsidRDefault="00000000">
            <w:r>
              <w:rPr>
                <w:sz w:val="17"/>
              </w:rPr>
              <w:t>2.13 Spodbujanje trajnostnega transporta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AAF4E57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5D3DB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1574B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2B652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3D44663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</w:tr>
      <w:tr w:rsidR="000F53DD" w14:paraId="1D20D69D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1AC137" w14:textId="77777777" w:rsidR="000F53DD" w:rsidRDefault="00000000">
            <w:r>
              <w:rPr>
                <w:sz w:val="17"/>
              </w:rPr>
              <w:t>2.18 Spodbujanje pitja vode iz pipe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730D30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1CD9DDF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82E67A1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74A4962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7EDE96E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</w:tr>
      <w:tr w:rsidR="000F53DD" w14:paraId="07F6C184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FD5FA9D" w14:textId="77777777" w:rsidR="000F53DD" w:rsidRDefault="00000000">
            <w:r>
              <w:rPr>
                <w:sz w:val="17"/>
              </w:rPr>
              <w:t>2.5 Ukrepi za zmanjšanje porabe vode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EFC07A5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5BDF7AB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3D333D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87874FA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02C8BAA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1FBC683C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06AA6BE" w14:textId="77777777" w:rsidR="000F53DD" w:rsidRDefault="00000000">
            <w:r>
              <w:rPr>
                <w:sz w:val="17"/>
              </w:rPr>
              <w:t>2.9 Zmanjšanje plastičnih odpadkov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68B8CEF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2AA725C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FF1FC79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16FB1FC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0BC61F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50AC9E59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9F78407" w14:textId="77777777" w:rsidR="000F53DD" w:rsidRDefault="00000000">
            <w:r>
              <w:rPr>
                <w:sz w:val="17"/>
              </w:rPr>
              <w:t>2.10 Zmanjšanje odpadne hrane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790C18B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75DCE26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4BA3F1B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813A43B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49058D5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</w:tr>
      <w:tr w:rsidR="000F53DD" w14:paraId="2C7CBCF7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943944D" w14:textId="77777777" w:rsidR="000F53DD" w:rsidRDefault="00000000">
            <w:r>
              <w:rPr>
                <w:sz w:val="17"/>
              </w:rPr>
              <w:t>2.12 Ozaveščanje gostov o energiji/vodi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9D0AE5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3B79A28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A1B564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B89FE6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0DAFF30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</w:tr>
      <w:tr w:rsidR="000F53DD" w14:paraId="7472C728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86A121E" w14:textId="77777777" w:rsidR="000F53DD" w:rsidRDefault="00000000">
            <w:r>
              <w:rPr>
                <w:sz w:val="17"/>
              </w:rPr>
              <w:lastRenderedPageBreak/>
              <w:t>2.19 Seznanjenost s certifikati/spodbudami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845E031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BB682BB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3C20BFC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652AA6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C5FDB74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</w:tr>
      <w:tr w:rsidR="000F53DD" w14:paraId="5F65F031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24F3773" w14:textId="77777777" w:rsidR="000F53DD" w:rsidRDefault="00000000">
            <w:r>
              <w:rPr>
                <w:sz w:val="17"/>
              </w:rPr>
              <w:t>2.20 Sodelovanje z lokalno turistično org.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40F2299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3AF301C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D5648E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F7F993E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26AA74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  <w:tr w:rsidR="000F53DD" w14:paraId="63EA2E25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4BC6FA6" w14:textId="77777777" w:rsidR="000F53DD" w:rsidRDefault="00000000">
            <w:r>
              <w:rPr>
                <w:sz w:val="17"/>
              </w:rPr>
              <w:t>2.24 Zavedanje vpliva podnebnih sprememb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C142A11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C9EA432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D0DD9B9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766539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BA1A956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</w:tr>
      <w:tr w:rsidR="000F53DD" w14:paraId="690534BF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9F91C7B" w14:textId="77777777" w:rsidR="000F53DD" w:rsidRDefault="00000000">
            <w:r>
              <w:rPr>
                <w:sz w:val="17"/>
              </w:rPr>
              <w:t>2.14 Oblikovana trajnostna strategija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C668C2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AADBEA8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6780740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BB0262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257452B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</w:tr>
      <w:tr w:rsidR="000F53DD" w14:paraId="2E3F4F4A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7C57116" w14:textId="77777777" w:rsidR="000F53DD" w:rsidRDefault="00000000">
            <w:r>
              <w:rPr>
                <w:sz w:val="17"/>
              </w:rPr>
              <w:t>2.15 Objavljanje trajnostnih dosežkov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C902079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3AA6BD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51B5FE6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63AE015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FFFFF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BB37292" w14:textId="77777777" w:rsidR="000F53DD" w:rsidRDefault="00000000">
            <w:pPr>
              <w:jc w:val="center"/>
            </w:pPr>
            <w:r>
              <w:rPr>
                <w:sz w:val="17"/>
              </w:rPr>
              <w:t>3 (50%)</w:t>
            </w:r>
          </w:p>
        </w:tc>
      </w:tr>
      <w:tr w:rsidR="000F53DD" w14:paraId="0E0905B3" w14:textId="77777777">
        <w:trPr>
          <w:jc w:val="center"/>
        </w:trPr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D19449" w14:textId="77777777" w:rsidR="000F53DD" w:rsidRDefault="00000000">
            <w:r>
              <w:rPr>
                <w:sz w:val="17"/>
              </w:rPr>
              <w:t>2.11 Okolju prijazni izdelki / čistila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C329C84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CAB78A7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9406C85" w14:textId="77777777" w:rsidR="000F53DD" w:rsidRDefault="00000000">
            <w:pPr>
              <w:jc w:val="center"/>
            </w:pPr>
            <w:r>
              <w:rPr>
                <w:sz w:val="17"/>
              </w:rPr>
              <w:t>2 (33%)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78FF997" w14:textId="77777777" w:rsidR="000F53DD" w:rsidRDefault="00000000">
            <w:pPr>
              <w:jc w:val="center"/>
            </w:pPr>
            <w:r>
              <w:rPr>
                <w:sz w:val="17"/>
              </w:rPr>
              <w:t>0 (0%)</w:t>
            </w:r>
          </w:p>
        </w:tc>
        <w:tc>
          <w:tcPr>
            <w:tcW w:w="1656" w:type="dxa"/>
            <w:shd w:val="clear" w:color="auto" w:fill="F8FA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66F670" w14:textId="77777777" w:rsidR="000F53DD" w:rsidRDefault="00000000">
            <w:pPr>
              <w:jc w:val="center"/>
            </w:pPr>
            <w:r>
              <w:rPr>
                <w:sz w:val="17"/>
              </w:rPr>
              <w:t>1 (17%)</w:t>
            </w:r>
          </w:p>
        </w:tc>
      </w:tr>
    </w:tbl>
    <w:p w14:paraId="0B2C63CB" w14:textId="77777777" w:rsidR="000F53DD" w:rsidRDefault="000F53D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891"/>
      </w:tblGrid>
      <w:tr w:rsidR="000F53DD" w14:paraId="7A9E1A5F" w14:textId="77777777">
        <w:trPr>
          <w:jc w:val="center"/>
        </w:trPr>
        <w:tc>
          <w:tcPr>
            <w:tcW w:w="9936" w:type="dxa"/>
            <w:tcBorders>
              <w:left w:val="single" w:sz="36" w:space="0" w:color="16A34A"/>
            </w:tcBorders>
            <w:shd w:val="clear" w:color="auto" w:fill="F0FDF4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FD2C53" w14:textId="77777777" w:rsidR="000F53DD" w:rsidRDefault="00000000">
            <w:pPr>
              <w:spacing w:after="40"/>
            </w:pPr>
            <w:r>
              <w:rPr>
                <w:b/>
                <w:color w:val="15803D"/>
              </w:rPr>
              <w:t>Ključne prednosti v praksi podjetij</w:t>
            </w:r>
          </w:p>
          <w:p w14:paraId="4B9A543A" w14:textId="77777777" w:rsidR="000F53DD" w:rsidRDefault="00000000">
            <w:pPr>
              <w:spacing w:after="0"/>
            </w:pPr>
            <w:r>
              <w:t>Podjetja najbolj dosledno izvajajo ukrepe na področju upravljanja z energijo, vode iz pipe ter ločevanja odpadkov (50 % podjetij jih izvaja v polni meri). Izstopa tudi urejenost internih pravilnikov za zaposlene (67 % v polni meri).</w:t>
            </w:r>
          </w:p>
        </w:tc>
      </w:tr>
    </w:tbl>
    <w:p w14:paraId="1E669E88" w14:textId="77777777" w:rsidR="000F53DD" w:rsidRDefault="000F53DD"/>
    <w:p w14:paraId="61DC9029" w14:textId="77777777" w:rsidR="000F53DD" w:rsidRDefault="00000000">
      <w:pPr>
        <w:spacing w:before="280"/>
      </w:pPr>
      <w:r>
        <w:rPr>
          <w:b/>
          <w:color w:val="1E3D59"/>
          <w:sz w:val="26"/>
        </w:rPr>
        <w:t>3. Konkretni uvedeni ukrepi in dobri primeri iz prakse</w:t>
      </w:r>
    </w:p>
    <w:p w14:paraId="65935D0B" w14:textId="77777777" w:rsidR="000F53DD" w:rsidRDefault="00000000">
      <w:r>
        <w:t>Kvalitativni odgovori sodelujočih ponudnikov prikazujejo praktične rešitve, ki so že vpeljane v vsakodnevno poslovanje:</w:t>
      </w:r>
    </w:p>
    <w:p w14:paraId="61655B44" w14:textId="77777777" w:rsidR="000F53DD" w:rsidRDefault="00000000">
      <w:pPr>
        <w:spacing w:before="200" w:after="80"/>
      </w:pPr>
      <w:r>
        <w:rPr>
          <w:b/>
          <w:color w:val="0F766E"/>
          <w:sz w:val="22"/>
        </w:rPr>
        <w:t>A) Učinkovita raba energije in vode</w:t>
      </w:r>
    </w:p>
    <w:p w14:paraId="086B2B9B" w14:textId="77777777" w:rsidR="000F53DD" w:rsidRDefault="00000000">
      <w:pPr>
        <w:pStyle w:val="Oznaenseznam"/>
      </w:pPr>
      <w:r>
        <w:rPr>
          <w:b/>
        </w:rPr>
        <w:t xml:space="preserve">Energija: </w:t>
      </w:r>
      <w:r>
        <w:t>Uporaba varčnih žarnic, senzorjev za izklop, lastne sončne elektrarne ter solarnega sistema za ogrevanje sanitarne vode.</w:t>
      </w:r>
    </w:p>
    <w:p w14:paraId="12747C01" w14:textId="77777777" w:rsidR="000F53DD" w:rsidRDefault="00000000">
      <w:pPr>
        <w:pStyle w:val="Oznaenseznam"/>
      </w:pPr>
      <w:r>
        <w:rPr>
          <w:b/>
        </w:rPr>
        <w:t xml:space="preserve">Voda: </w:t>
      </w:r>
      <w:r>
        <w:t>Namestitev perlatorjev na pipah, varčnih tušev, uporaba vodnih zbiralnikov in namenskih zalivalnih sistemov.</w:t>
      </w:r>
    </w:p>
    <w:p w14:paraId="19C5E9AA" w14:textId="77777777" w:rsidR="000F53DD" w:rsidRDefault="00000000">
      <w:pPr>
        <w:spacing w:before="200" w:after="80"/>
      </w:pPr>
      <w:r>
        <w:rPr>
          <w:b/>
          <w:color w:val="0F766E"/>
          <w:sz w:val="22"/>
        </w:rPr>
        <w:t>B) Ravnanje z odpadki in krožno gospodarstvo</w:t>
      </w:r>
    </w:p>
    <w:p w14:paraId="58A1D42E" w14:textId="77777777" w:rsidR="000F53DD" w:rsidRDefault="00000000">
      <w:pPr>
        <w:pStyle w:val="Oznaenseznam"/>
      </w:pPr>
      <w:r>
        <w:rPr>
          <w:b/>
        </w:rPr>
        <w:t xml:space="preserve">Plastika: </w:t>
      </w:r>
      <w:r>
        <w:t>Nabava večjih embalaž, stiskalnice za odpadke, uporaba aluminijastih in steklenih steklenic ter povratne embalaže.</w:t>
      </w:r>
    </w:p>
    <w:p w14:paraId="5355D61B" w14:textId="77777777" w:rsidR="000F53DD" w:rsidRDefault="00000000">
      <w:pPr>
        <w:pStyle w:val="Oznaenseznam"/>
      </w:pPr>
      <w:r>
        <w:rPr>
          <w:b/>
        </w:rPr>
        <w:t xml:space="preserve">Odpadna hrana: </w:t>
      </w:r>
      <w:r>
        <w:t>Natančna lokalna nabava ter domača predelava ostankov (npr. domača reja kokoši za porabo viškov hrane).</w:t>
      </w:r>
    </w:p>
    <w:p w14:paraId="1F03AB25" w14:textId="77777777" w:rsidR="000F53DD" w:rsidRDefault="00000000">
      <w:pPr>
        <w:spacing w:before="200" w:after="80"/>
      </w:pPr>
      <w:r>
        <w:rPr>
          <w:b/>
          <w:color w:val="0F766E"/>
          <w:sz w:val="22"/>
        </w:rPr>
        <w:t>C) Lokalno sodelovanje, komunikacija in narava</w:t>
      </w:r>
    </w:p>
    <w:p w14:paraId="6AC95C0B" w14:textId="77777777" w:rsidR="000F53DD" w:rsidRDefault="00000000">
      <w:pPr>
        <w:pStyle w:val="Oznaenseznam"/>
      </w:pPr>
      <w:r>
        <w:rPr>
          <w:b/>
        </w:rPr>
        <w:t xml:space="preserve">Sodelovanje z LTO: </w:t>
      </w:r>
      <w:r>
        <w:t>Aktivna vključenost v vodenje skupin, sodelovanje na vseh letnih prireditvah in dnevih odprtih vrat.</w:t>
      </w:r>
    </w:p>
    <w:p w14:paraId="49DCF547" w14:textId="77777777" w:rsidR="000F53DD" w:rsidRDefault="00000000">
      <w:pPr>
        <w:pStyle w:val="Oznaenseznam"/>
      </w:pPr>
      <w:r>
        <w:rPr>
          <w:b/>
        </w:rPr>
        <w:t xml:space="preserve">Biotska raznovrstnost in skupnost: </w:t>
      </w:r>
      <w:r>
        <w:t>Aktivno spodbujanje pohodniških in kolesarskih poti, donacije, organizacija delavnic in vodenj po lokalnih znamenitostih.</w:t>
      </w:r>
    </w:p>
    <w:p w14:paraId="3CBA7232" w14:textId="77777777" w:rsidR="000F53DD" w:rsidRDefault="00000000">
      <w:pPr>
        <w:pStyle w:val="Oznaenseznam"/>
      </w:pPr>
      <w:r>
        <w:rPr>
          <w:b/>
        </w:rPr>
        <w:t xml:space="preserve">Komuniciranje dosežkov: </w:t>
      </w:r>
      <w:r>
        <w:t>Preko lokalnega časopisa, družbenih omrežij (Facebook) ter uradnih spletnih strani.</w:t>
      </w:r>
    </w:p>
    <w:p w14:paraId="57BBB3FE" w14:textId="77777777" w:rsidR="000F53DD" w:rsidRDefault="000F53DD"/>
    <w:p w14:paraId="56F4EA38" w14:textId="77777777" w:rsidR="000F53DD" w:rsidRDefault="00000000">
      <w:pPr>
        <w:spacing w:before="280"/>
      </w:pPr>
      <w:r>
        <w:rPr>
          <w:b/>
          <w:color w:val="1E3D59"/>
          <w:sz w:val="26"/>
        </w:rPr>
        <w:t>4. Kvantitativni kazalniki trajnostne naravnanosti</w:t>
      </w:r>
    </w:p>
    <w:p w14:paraId="0CCA431C" w14:textId="77777777" w:rsidR="000F53DD" w:rsidRDefault="00000000">
      <w:r>
        <w:t>Dejanski deleži trajnostnih virov in lokalnih nabav potrjujejo visoko usmerjenost k lokalnemu okolju: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</w:tblGrid>
      <w:tr w:rsidR="000F53DD" w14:paraId="524215DE" w14:textId="77777777">
        <w:trPr>
          <w:jc w:val="center"/>
        </w:trPr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7D37B4" w14:textId="77777777" w:rsidR="000F53DD" w:rsidRDefault="00000000">
            <w:r>
              <w:rPr>
                <w:b/>
                <w:color w:val="FFFFFF"/>
                <w:sz w:val="18"/>
              </w:rPr>
              <w:t>Kazalnik / Vprašanje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CEC683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Povprečna ocena / Kat.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A26C6D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Std. odklon</w:t>
            </w:r>
          </w:p>
        </w:tc>
        <w:tc>
          <w:tcPr>
            <w:tcW w:w="2484" w:type="dxa"/>
            <w:shd w:val="clear" w:color="auto" w:fill="1E3D59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266D75" w14:textId="77777777" w:rsidR="000F53DD" w:rsidRDefault="00000000">
            <w:pPr>
              <w:jc w:val="center"/>
            </w:pPr>
            <w:r>
              <w:rPr>
                <w:b/>
                <w:color w:val="FFFFFF"/>
                <w:sz w:val="18"/>
              </w:rPr>
              <w:t>Glavni poudarek</w:t>
            </w:r>
          </w:p>
        </w:tc>
      </w:tr>
      <w:tr w:rsidR="000F53DD" w14:paraId="4ADFA1B9" w14:textId="77777777">
        <w:trPr>
          <w:jc w:val="center"/>
        </w:trPr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4DC2EF" w14:textId="77777777" w:rsidR="000F53DD" w:rsidRDefault="00000000">
            <w:r>
              <w:rPr>
                <w:sz w:val="18"/>
              </w:rPr>
              <w:t>4.1 Delež OVE energije (Q19)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3C2A22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3,6 / 5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2935FD" w14:textId="77777777" w:rsidR="000F53DD" w:rsidRDefault="00000000">
            <w:pPr>
              <w:jc w:val="center"/>
            </w:pPr>
            <w:r>
              <w:rPr>
                <w:sz w:val="18"/>
              </w:rPr>
              <w:t>1,7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090A5E" w14:textId="77777777" w:rsidR="000F53DD" w:rsidRDefault="00000000">
            <w:r>
              <w:rPr>
                <w:sz w:val="18"/>
              </w:rPr>
              <w:t>40 % podjetij ima nad 75 % OVE</w:t>
            </w:r>
          </w:p>
        </w:tc>
      </w:tr>
      <w:tr w:rsidR="000F53DD" w14:paraId="3A8C3345" w14:textId="77777777">
        <w:trPr>
          <w:jc w:val="center"/>
        </w:trPr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4C0D6E" w14:textId="77777777" w:rsidR="000F53DD" w:rsidRDefault="00000000">
            <w:r>
              <w:rPr>
                <w:sz w:val="18"/>
              </w:rPr>
              <w:t>4.2 Nakup lokalnega blaga/hrane (Q20)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ABD290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2,8 / 4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B9881F" w14:textId="77777777" w:rsidR="000F53DD" w:rsidRDefault="00000000">
            <w:pPr>
              <w:jc w:val="center"/>
            </w:pPr>
            <w:r>
              <w:rPr>
                <w:sz w:val="18"/>
              </w:rPr>
              <w:t>1,0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A8031D" w14:textId="77777777" w:rsidR="000F53DD" w:rsidRDefault="00000000">
            <w:r>
              <w:rPr>
                <w:sz w:val="18"/>
              </w:rPr>
              <w:t>50 % podjetij kupi &gt;50 % lokalno</w:t>
            </w:r>
          </w:p>
        </w:tc>
      </w:tr>
      <w:tr w:rsidR="000F53DD" w14:paraId="688A2959" w14:textId="77777777">
        <w:trPr>
          <w:jc w:val="center"/>
        </w:trPr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97BFB3" w14:textId="77777777" w:rsidR="000F53DD" w:rsidRDefault="00000000">
            <w:r>
              <w:rPr>
                <w:sz w:val="18"/>
              </w:rPr>
              <w:t>4.3 Lokalni izvajalci storitev (Q21)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A20380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3,5 / 4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6D3EA9" w14:textId="77777777" w:rsidR="000F53DD" w:rsidRDefault="00000000">
            <w:pPr>
              <w:jc w:val="center"/>
            </w:pPr>
            <w:r>
              <w:rPr>
                <w:sz w:val="18"/>
              </w:rPr>
              <w:t>0,6</w:t>
            </w:r>
          </w:p>
        </w:tc>
        <w:tc>
          <w:tcPr>
            <w:tcW w:w="2484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09A84C" w14:textId="77777777" w:rsidR="000F53DD" w:rsidRDefault="00000000">
            <w:r>
              <w:rPr>
                <w:sz w:val="18"/>
              </w:rPr>
              <w:t>100 % podjetij ima &gt;50 % lokalcev</w:t>
            </w:r>
          </w:p>
        </w:tc>
      </w:tr>
      <w:tr w:rsidR="000F53DD" w14:paraId="09BCB28F" w14:textId="77777777">
        <w:trPr>
          <w:jc w:val="center"/>
        </w:trPr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612EF3" w14:textId="77777777" w:rsidR="000F53DD" w:rsidRDefault="00000000">
            <w:r>
              <w:rPr>
                <w:sz w:val="18"/>
              </w:rPr>
              <w:t>4.4 Brezmesna ponudba menijev (Q22)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52DE2C" w14:textId="77777777" w:rsidR="000F53DD" w:rsidRDefault="00000000">
            <w:pPr>
              <w:jc w:val="center"/>
            </w:pPr>
            <w:r>
              <w:rPr>
                <w:b/>
                <w:sz w:val="18"/>
              </w:rPr>
              <w:t>2,0 / 4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21F2CF" w14:textId="77777777" w:rsidR="000F53DD" w:rsidRDefault="00000000">
            <w:pPr>
              <w:jc w:val="center"/>
            </w:pPr>
            <w:r>
              <w:rPr>
                <w:sz w:val="18"/>
              </w:rPr>
              <w:t>0,0</w:t>
            </w:r>
          </w:p>
        </w:tc>
        <w:tc>
          <w:tcPr>
            <w:tcW w:w="2484" w:type="dxa"/>
            <w:shd w:val="clear" w:color="auto" w:fill="F8FA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6CCB37" w14:textId="77777777" w:rsidR="000F53DD" w:rsidRDefault="00000000">
            <w:r>
              <w:rPr>
                <w:sz w:val="18"/>
              </w:rPr>
              <w:t>Vključeno v razponu 25–50 %</w:t>
            </w:r>
          </w:p>
        </w:tc>
      </w:tr>
    </w:tbl>
    <w:p w14:paraId="271AC68E" w14:textId="77777777" w:rsidR="000F53DD" w:rsidRDefault="000F53DD"/>
    <w:p w14:paraId="49400EAD" w14:textId="77777777" w:rsidR="000F53DD" w:rsidRDefault="00000000">
      <w:pPr>
        <w:spacing w:before="280"/>
      </w:pPr>
      <w:r>
        <w:rPr>
          <w:b/>
          <w:color w:val="1E3D59"/>
          <w:sz w:val="26"/>
        </w:rPr>
        <w:t>5. Priložnosti za izboljšave in strateška priporočila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891"/>
      </w:tblGrid>
      <w:tr w:rsidR="000F53DD" w14:paraId="02568EB5" w14:textId="77777777">
        <w:trPr>
          <w:jc w:val="center"/>
        </w:trPr>
        <w:tc>
          <w:tcPr>
            <w:tcW w:w="9936" w:type="dxa"/>
            <w:tcBorders>
              <w:left w:val="single" w:sz="36" w:space="0" w:color="D97706"/>
            </w:tcBorders>
            <w:shd w:val="clear" w:color="auto" w:fill="FFFBE0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7FDB90" w14:textId="77777777" w:rsidR="000F53DD" w:rsidRDefault="00000000">
            <w:pPr>
              <w:spacing w:after="40"/>
            </w:pPr>
            <w:r>
              <w:rPr>
                <w:b/>
                <w:color w:val="B45309"/>
              </w:rPr>
              <w:t>Identificirane vrzel pri uveljavljanju trajnosti</w:t>
            </w:r>
          </w:p>
          <w:p w14:paraId="7916FF8C" w14:textId="77777777" w:rsidR="000F53DD" w:rsidRDefault="00000000">
            <w:pPr>
              <w:spacing w:after="0"/>
            </w:pPr>
            <w:r>
              <w:t>Polovica vprašanih podjetij (50 %) nima formalno oblikovane trajnostne strategije ali akcijskega načrta ter ne spremlja sistematično svojih trajnostnih dosežkov. Poleg tega je 67 % podjetij zadržanih glede deljenja podrobnih podatkov o porabi energije in vode.</w:t>
            </w:r>
          </w:p>
        </w:tc>
      </w:tr>
    </w:tbl>
    <w:p w14:paraId="4DAD5825" w14:textId="77777777" w:rsidR="000F53DD" w:rsidRDefault="000F53DD"/>
    <w:p w14:paraId="0E1B6B99" w14:textId="77777777" w:rsidR="000F53DD" w:rsidRDefault="00000000">
      <w:r>
        <w:t>Na podlagi ugotovitev predlagamo naslednje strateške ukrepe:</w:t>
      </w:r>
    </w:p>
    <w:p w14:paraId="4CFB8321" w14:textId="77777777" w:rsidR="000F53DD" w:rsidRDefault="00000000">
      <w:pPr>
        <w:pStyle w:val="Otevilenseznam"/>
      </w:pPr>
      <w:r>
        <w:rPr>
          <w:b/>
        </w:rPr>
        <w:t xml:space="preserve">Spodbujanje izdelave pisnih trajnostnih strategij: </w:t>
      </w:r>
      <w:r>
        <w:t>Pripraviti enostavne predloge ali delavnice za mikropodjetja, da formalizirajo svoje zelene ukrepe v jasne akcijske načrte.</w:t>
      </w:r>
    </w:p>
    <w:p w14:paraId="67E26BD1" w14:textId="77777777" w:rsidR="000F53DD" w:rsidRDefault="00000000">
      <w:pPr>
        <w:pStyle w:val="Otevilenseznam"/>
      </w:pPr>
      <w:r>
        <w:rPr>
          <w:b/>
        </w:rPr>
        <w:t xml:space="preserve">Povečanje prepoznavnosti certifikatov in finančnih spodbud: </w:t>
      </w:r>
      <w:r>
        <w:t>Ker tretjina podjetij zgolj razmišlja ali slabo pozna spodbude MGRT in Zeleno shemo slovenskega turizma, je potreben bolj ciljno usmerjen prenos informacij s strani LTO.</w:t>
      </w:r>
    </w:p>
    <w:p w14:paraId="744F212A" w14:textId="77777777" w:rsidR="000F53DD" w:rsidRDefault="00000000">
      <w:pPr>
        <w:pStyle w:val="Otevilenseznam"/>
      </w:pPr>
      <w:r>
        <w:rPr>
          <w:b/>
        </w:rPr>
        <w:t xml:space="preserve">Sistematsko merjenje in odprtost podatkov: </w:t>
      </w:r>
      <w:r>
        <w:t>Vzpostaviti varen in anonimiziran mehanizem za zbiranje podatkov o porabi virov (energija, voda), ki bo podjetjem omogočil primerjavo (benchmarking) z drugimi ponudniki.</w:t>
      </w:r>
    </w:p>
    <w:p w14:paraId="1AB84C36" w14:textId="77777777" w:rsidR="000F53DD" w:rsidRDefault="00000000">
      <w:pPr>
        <w:spacing w:before="280"/>
      </w:pPr>
      <w:r>
        <w:rPr>
          <w:b/>
          <w:color w:val="1E3D59"/>
          <w:sz w:val="26"/>
        </w:rPr>
        <w:t>6. Zaključek</w:t>
      </w:r>
    </w:p>
    <w:p w14:paraId="2B506226" w14:textId="77777777" w:rsidR="000F53DD" w:rsidRDefault="00000000">
      <w:r>
        <w:t>Sodelujoča turistična podjetja izkazujejo visoko raven zavedanja in praktične vključenosti v trajnostna ravnanja, zlasti pri uporabi lokalnih storitev, obnovljivih virih energije in varčevanju z vodo. Za nadaljnji prehod v celovito trajnostno destinacijo pa bo ključno formalizirati strategije posameznih ponudnikov ter izboljšati sistematično spremljanje in poročenje o trajnostnih rezultatih.</w:t>
      </w:r>
    </w:p>
    <w:sectPr w:rsidR="000F53DD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Otevile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Otevile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Oznaenseznam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Oznaenseznam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Otevile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Oznaensezna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4591240">
    <w:abstractNumId w:val="8"/>
  </w:num>
  <w:num w:numId="2" w16cid:durableId="1027409460">
    <w:abstractNumId w:val="6"/>
  </w:num>
  <w:num w:numId="3" w16cid:durableId="1190949644">
    <w:abstractNumId w:val="5"/>
  </w:num>
  <w:num w:numId="4" w16cid:durableId="1174950620">
    <w:abstractNumId w:val="4"/>
  </w:num>
  <w:num w:numId="5" w16cid:durableId="149295083">
    <w:abstractNumId w:val="7"/>
  </w:num>
  <w:num w:numId="6" w16cid:durableId="2079092758">
    <w:abstractNumId w:val="3"/>
  </w:num>
  <w:num w:numId="7" w16cid:durableId="2004115809">
    <w:abstractNumId w:val="2"/>
  </w:num>
  <w:num w:numId="8" w16cid:durableId="944115277">
    <w:abstractNumId w:val="1"/>
  </w:num>
  <w:num w:numId="9" w16cid:durableId="3087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53DD"/>
    <w:rsid w:val="0015074B"/>
    <w:rsid w:val="0029639D"/>
    <w:rsid w:val="00326F90"/>
    <w:rsid w:val="00AA1D8D"/>
    <w:rsid w:val="00B47730"/>
    <w:rsid w:val="00C43131"/>
    <w:rsid w:val="00CB0664"/>
    <w:rsid w:val="00DF10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FB9AF0"/>
  <w14:defaultImageDpi w14:val="300"/>
  <w15:docId w15:val="{9B99D5CA-1BB5-4C6C-9A94-1A0CD35E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C693F"/>
    <w:pPr>
      <w:spacing w:after="120"/>
    </w:pPr>
    <w:rPr>
      <w:rFonts w:ascii="Arial" w:hAnsi="Arial"/>
      <w:color w:val="2C3E50"/>
      <w:sz w:val="20"/>
    </w:rPr>
  </w:style>
  <w:style w:type="paragraph" w:styleId="Naslov1">
    <w:name w:val="heading 1"/>
    <w:basedOn w:val="Navaden"/>
    <w:next w:val="Navaden"/>
    <w:link w:val="Naslov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618BF"/>
  </w:style>
  <w:style w:type="paragraph" w:styleId="Noga">
    <w:name w:val="footer"/>
    <w:basedOn w:val="Navaden"/>
    <w:link w:val="Nog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618BF"/>
  </w:style>
  <w:style w:type="paragraph" w:styleId="Brezrazmikov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Znak">
    <w:name w:val="Naslov 1 Znak"/>
    <w:basedOn w:val="Privzetapisavaodstav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avaden"/>
    <w:next w:val="Navaden"/>
    <w:link w:val="Naslov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Znak">
    <w:name w:val="Podnaslov Znak"/>
    <w:basedOn w:val="Privzetapisavaodstav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FC693F"/>
    <w:pPr>
      <w:ind w:left="720"/>
      <w:contextualSpacing/>
    </w:pPr>
  </w:style>
  <w:style w:type="paragraph" w:styleId="Telobesedila">
    <w:name w:val="Body Text"/>
    <w:basedOn w:val="Navaden"/>
    <w:link w:val="TelobesedilaZnak"/>
    <w:uiPriority w:val="99"/>
    <w:unhideWhenUsed/>
    <w:rsid w:val="00AA1D8D"/>
  </w:style>
  <w:style w:type="character" w:customStyle="1" w:styleId="TelobesedilaZnak">
    <w:name w:val="Telo besedila Znak"/>
    <w:basedOn w:val="Privzetapisavaodstavka"/>
    <w:link w:val="Telobesedila"/>
    <w:uiPriority w:val="99"/>
    <w:rsid w:val="00AA1D8D"/>
  </w:style>
  <w:style w:type="paragraph" w:styleId="Telobesedila2">
    <w:name w:val="Body Text 2"/>
    <w:basedOn w:val="Navaden"/>
    <w:link w:val="Telobesedila2Znak"/>
    <w:uiPriority w:val="99"/>
    <w:unhideWhenUsed/>
    <w:rsid w:val="00AA1D8D"/>
    <w:pPr>
      <w:spacing w:line="480" w:lineRule="auto"/>
    </w:pPr>
  </w:style>
  <w:style w:type="character" w:customStyle="1" w:styleId="Telobesedila2Znak">
    <w:name w:val="Telo besedila 2 Znak"/>
    <w:basedOn w:val="Privzetapisavaodstavka"/>
    <w:link w:val="Telobesedila2"/>
    <w:uiPriority w:val="99"/>
    <w:rsid w:val="00AA1D8D"/>
  </w:style>
  <w:style w:type="paragraph" w:styleId="Telobesedila3">
    <w:name w:val="Body Text 3"/>
    <w:basedOn w:val="Navaden"/>
    <w:link w:val="Telobesedila3Znak"/>
    <w:uiPriority w:val="99"/>
    <w:unhideWhenUsed/>
    <w:rsid w:val="00AA1D8D"/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rsid w:val="00AA1D8D"/>
    <w:rPr>
      <w:sz w:val="16"/>
      <w:szCs w:val="16"/>
    </w:rPr>
  </w:style>
  <w:style w:type="paragraph" w:styleId="Seznam">
    <w:name w:val="List"/>
    <w:basedOn w:val="Navade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avade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avaden"/>
    <w:uiPriority w:val="99"/>
    <w:unhideWhenUsed/>
    <w:rsid w:val="00326F90"/>
    <w:pPr>
      <w:ind w:left="1080" w:hanging="360"/>
      <w:contextualSpacing/>
    </w:pPr>
  </w:style>
  <w:style w:type="paragraph" w:styleId="Oznaenseznam">
    <w:name w:val="List Bullet"/>
    <w:basedOn w:val="Navaden"/>
    <w:uiPriority w:val="99"/>
    <w:unhideWhenUsed/>
    <w:rsid w:val="00326F90"/>
    <w:pPr>
      <w:numPr>
        <w:numId w:val="1"/>
      </w:numPr>
      <w:contextualSpacing/>
    </w:pPr>
  </w:style>
  <w:style w:type="paragraph" w:styleId="Oznaenseznam2">
    <w:name w:val="List Bullet 2"/>
    <w:basedOn w:val="Navaden"/>
    <w:uiPriority w:val="99"/>
    <w:unhideWhenUsed/>
    <w:rsid w:val="00326F90"/>
    <w:pPr>
      <w:numPr>
        <w:numId w:val="2"/>
      </w:numPr>
      <w:contextualSpacing/>
    </w:pPr>
  </w:style>
  <w:style w:type="paragraph" w:styleId="Oznaenseznam3">
    <w:name w:val="List Bullet 3"/>
    <w:basedOn w:val="Navaden"/>
    <w:uiPriority w:val="99"/>
    <w:unhideWhenUsed/>
    <w:rsid w:val="00326F90"/>
    <w:pPr>
      <w:numPr>
        <w:numId w:val="3"/>
      </w:numPr>
      <w:contextualSpacing/>
    </w:pPr>
  </w:style>
  <w:style w:type="paragraph" w:styleId="Otevilenseznam">
    <w:name w:val="List Number"/>
    <w:basedOn w:val="Navaden"/>
    <w:uiPriority w:val="99"/>
    <w:unhideWhenUsed/>
    <w:rsid w:val="00326F90"/>
    <w:pPr>
      <w:numPr>
        <w:numId w:val="5"/>
      </w:numPr>
      <w:contextualSpacing/>
    </w:pPr>
  </w:style>
  <w:style w:type="paragraph" w:styleId="Otevilenseznam2">
    <w:name w:val="List Number 2"/>
    <w:basedOn w:val="Navaden"/>
    <w:uiPriority w:val="99"/>
    <w:unhideWhenUsed/>
    <w:rsid w:val="0029639D"/>
    <w:pPr>
      <w:numPr>
        <w:numId w:val="6"/>
      </w:numPr>
      <w:contextualSpacing/>
    </w:pPr>
  </w:style>
  <w:style w:type="paragraph" w:styleId="Otevilenseznam3">
    <w:name w:val="List Number 3"/>
    <w:basedOn w:val="Navaden"/>
    <w:uiPriority w:val="99"/>
    <w:unhideWhenUsed/>
    <w:rsid w:val="0029639D"/>
    <w:pPr>
      <w:numPr>
        <w:numId w:val="7"/>
      </w:numPr>
      <w:contextualSpacing/>
    </w:pPr>
  </w:style>
  <w:style w:type="paragraph" w:styleId="Seznam-nadaljevanje">
    <w:name w:val="List Continue"/>
    <w:basedOn w:val="Navaden"/>
    <w:uiPriority w:val="99"/>
    <w:unhideWhenUsed/>
    <w:rsid w:val="0029639D"/>
    <w:pPr>
      <w:ind w:left="360"/>
      <w:contextualSpacing/>
    </w:pPr>
  </w:style>
  <w:style w:type="paragraph" w:styleId="Seznam-nadaljevanje2">
    <w:name w:val="List Continue 2"/>
    <w:basedOn w:val="Navaden"/>
    <w:uiPriority w:val="99"/>
    <w:unhideWhenUsed/>
    <w:rsid w:val="0029639D"/>
    <w:pPr>
      <w:ind w:left="720"/>
      <w:contextualSpacing/>
    </w:pPr>
  </w:style>
  <w:style w:type="paragraph" w:styleId="Seznam-nadaljevanje3">
    <w:name w:val="List Continue 3"/>
    <w:basedOn w:val="Navaden"/>
    <w:uiPriority w:val="99"/>
    <w:unhideWhenUsed/>
    <w:rsid w:val="0029639D"/>
    <w:pPr>
      <w:ind w:left="1080"/>
      <w:contextualSpacing/>
    </w:pPr>
  </w:style>
  <w:style w:type="paragraph" w:styleId="Makrobesedilo">
    <w:name w:val="macro"/>
    <w:link w:val="Makrobesedilo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besediloZnak">
    <w:name w:val="Makro besedilo Znak"/>
    <w:basedOn w:val="Privzetapisavaodstavka"/>
    <w:link w:val="Makrobesedilo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avaden"/>
    <w:next w:val="Navaden"/>
    <w:link w:val="CitatZnak"/>
    <w:uiPriority w:val="29"/>
    <w:qFormat/>
    <w:rsid w:val="00FC693F"/>
    <w:rPr>
      <w:i/>
      <w:iCs/>
      <w:color w:val="000000" w:themeColor="text1"/>
    </w:rPr>
  </w:style>
  <w:style w:type="character" w:customStyle="1" w:styleId="CitatZnak">
    <w:name w:val="Citat Znak"/>
    <w:basedOn w:val="Privzetapisavaodstav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repko">
    <w:name w:val="Strong"/>
    <w:basedOn w:val="Privzetapisavaodstavka"/>
    <w:uiPriority w:val="22"/>
    <w:qFormat/>
    <w:rsid w:val="00FC693F"/>
    <w:rPr>
      <w:b/>
      <w:bCs/>
    </w:rPr>
  </w:style>
  <w:style w:type="character" w:styleId="Poudarek">
    <w:name w:val="Emphasis"/>
    <w:basedOn w:val="Privzetapisavaodstavka"/>
    <w:uiPriority w:val="20"/>
    <w:qFormat/>
    <w:rsid w:val="00FC693F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C693F"/>
    <w:rPr>
      <w:b/>
      <w:bCs/>
      <w:i/>
      <w:iCs/>
      <w:color w:val="4F81BD" w:themeColor="accent1"/>
    </w:rPr>
  </w:style>
  <w:style w:type="character" w:styleId="Neenpoudarek">
    <w:name w:val="Subtle Emphasis"/>
    <w:basedOn w:val="Privzetapisavaodstavka"/>
    <w:uiPriority w:val="19"/>
    <w:qFormat/>
    <w:rsid w:val="00FC693F"/>
    <w:rPr>
      <w:i/>
      <w:iCs/>
      <w:color w:val="808080" w:themeColor="text1" w:themeTint="7F"/>
    </w:rPr>
  </w:style>
  <w:style w:type="character" w:styleId="Intenzivenpoudarek">
    <w:name w:val="Intense Emphasis"/>
    <w:basedOn w:val="Privzetapisavaodstavka"/>
    <w:uiPriority w:val="21"/>
    <w:qFormat/>
    <w:rsid w:val="00FC693F"/>
    <w:rPr>
      <w:b/>
      <w:bCs/>
      <w:i/>
      <w:iCs/>
      <w:color w:val="4F81BD" w:themeColor="accent1"/>
    </w:rPr>
  </w:style>
  <w:style w:type="character" w:styleId="Neensklic">
    <w:name w:val="Subtle Reference"/>
    <w:basedOn w:val="Privzetapisavaodstavka"/>
    <w:uiPriority w:val="31"/>
    <w:qFormat/>
    <w:rsid w:val="00FC693F"/>
    <w:rPr>
      <w:smallCaps/>
      <w:color w:val="C0504D" w:themeColor="accent2"/>
      <w:u w:val="single"/>
    </w:rPr>
  </w:style>
  <w:style w:type="character" w:styleId="Intenzivensklic">
    <w:name w:val="Intense Reference"/>
    <w:basedOn w:val="Privzetapisavaodstav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Privzetapisavaodstavka"/>
    <w:uiPriority w:val="33"/>
    <w:qFormat/>
    <w:rsid w:val="00FC693F"/>
    <w:rPr>
      <w:b/>
      <w:b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FC693F"/>
    <w:pPr>
      <w:outlineLvl w:val="9"/>
    </w:pPr>
  </w:style>
  <w:style w:type="table" w:styleId="Tabelamrea">
    <w:name w:val="Table Grid"/>
    <w:basedOn w:val="Navadnatabe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osenenje">
    <w:name w:val="Light Shading"/>
    <w:basedOn w:val="Navadnatabe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osenenjepoudarek1">
    <w:name w:val="Light Shading Accent 1"/>
    <w:basedOn w:val="Navadnatabe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osenenjepoudarek2">
    <w:name w:val="Light Shading Accent 2"/>
    <w:basedOn w:val="Navadnatabe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osenenjepoudarek3">
    <w:name w:val="Light Shading Accent 3"/>
    <w:basedOn w:val="Navadnatabe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osenenjepoudarek4">
    <w:name w:val="Light Shading Accent 4"/>
    <w:basedOn w:val="Navadnatabe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osenenjepoudarek5">
    <w:name w:val="Light Shading Accent 5"/>
    <w:basedOn w:val="Navadnatabe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osenenjepoudarek6">
    <w:name w:val="Light Shading Accent 6"/>
    <w:basedOn w:val="Navadnatabe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elseznam">
    <w:name w:val="Light List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elseznampoudarek1">
    <w:name w:val="Light List Accent 1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elseznampoudarek2">
    <w:name w:val="Light List Accent 2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elseznampoudarek3">
    <w:name w:val="Light List Accent 3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elseznampoudarek4">
    <w:name w:val="Light List Accent 4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elseznampoudarek5">
    <w:name w:val="Light List Accent 5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elseznampoudarek6">
    <w:name w:val="Light List Accent 6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amrea">
    <w:name w:val="Light Grid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amreapoudarek1">
    <w:name w:val="Light Grid Accent 1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amreapoudarek2">
    <w:name w:val="Light Grid Accent 2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amreapoudarek3">
    <w:name w:val="Light Grid Accent 3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amreapoudarek4">
    <w:name w:val="Light Grid Accent 4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amreapoudarek5">
    <w:name w:val="Light Grid Accent 5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amreapoudarek6">
    <w:name w:val="Light Grid Accent 6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enenje1">
    <w:name w:val="Medium Shading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1">
    <w:name w:val="Medium Shading 1 Accent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2">
    <w:name w:val="Medium Shading 1 Accent 2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3">
    <w:name w:val="Medium Shading 1 Accent 3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4">
    <w:name w:val="Medium Shading 1 Accent 4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5">
    <w:name w:val="Medium Shading 1 Accent 5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6">
    <w:name w:val="Medium Shading 1 Accent 6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2">
    <w:name w:val="Medium Shading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1">
    <w:name w:val="Medium Shading 2 Accent 1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2">
    <w:name w:val="Medium Shading 2 Accent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3">
    <w:name w:val="Medium Shading 2 Accent 3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4">
    <w:name w:val="Medium Shading 2 Accent 4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5">
    <w:name w:val="Medium Shading 2 Accent 5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6">
    <w:name w:val="Medium Shading 2 Accent 6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seznam1">
    <w:name w:val="Medium Lis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seznam1poudarek1">
    <w:name w:val="Medium List 1 Accen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seznam1poudarek2">
    <w:name w:val="Medium List 1 Accent 2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seznam1poudarek3">
    <w:name w:val="Medium List 1 Accent 3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seznam1poudarek4">
    <w:name w:val="Medium List 1 Accent 4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seznam1poudarek5">
    <w:name w:val="Medium List 1 Accent 5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seznam1poudarek6">
    <w:name w:val="Medium List 1 Accent 6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seznam2">
    <w:name w:val="Medium Lis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1">
    <w:name w:val="Medium List 2 Accent 1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2">
    <w:name w:val="Medium List 2 Accen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3">
    <w:name w:val="Medium List 2 Accent 3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4">
    <w:name w:val="Medium List 2 Accent 4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5">
    <w:name w:val="Medium List 2 Accent 5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6">
    <w:name w:val="Medium List 2 Accent 6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mrea1">
    <w:name w:val="Medium Grid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mrea1poudarek1">
    <w:name w:val="Medium Grid 1 Accent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mrea1poudarek2">
    <w:name w:val="Medium Grid 1 Accent 2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mrea1poudarek3">
    <w:name w:val="Medium Grid 1 Accent 3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mrea1poudarek4">
    <w:name w:val="Medium Grid 1 Accent 4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mrea1poudarek5">
    <w:name w:val="Medium Grid 1 Accent 5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mrea1poudarek6">
    <w:name w:val="Medium Grid 1 Accent 6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mrea2">
    <w:name w:val="Medium Grid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1">
    <w:name w:val="Medium Grid 2 Accent 1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2">
    <w:name w:val="Medium Grid 2 Accent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3">
    <w:name w:val="Medium Grid 2 Accent 3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4">
    <w:name w:val="Medium Grid 2 Accent 4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5">
    <w:name w:val="Medium Grid 2 Accent 5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6">
    <w:name w:val="Medium Grid 2 Accent 6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3">
    <w:name w:val="Medium Grid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mrea3poudarek1">
    <w:name w:val="Medium Grid 3 Accent 1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mrea3poudarek2">
    <w:name w:val="Medium Grid 3 Accent 2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mrea3poudarek3">
    <w:name w:val="Medium Grid 3 Accent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mrea3poudarek4">
    <w:name w:val="Medium Grid 3 Accent 4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mrea3poudarek5">
    <w:name w:val="Medium Grid 3 Accent 5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mrea3poudarek6">
    <w:name w:val="Medium Grid 3 Accent 6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emenseznam">
    <w:name w:val="Dark List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emenseznampoudarek1">
    <w:name w:val="Dark List Accent 1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emenseznampoudarek2">
    <w:name w:val="Dark List Accent 2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emenseznampoudarek3">
    <w:name w:val="Dark List Accent 3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emenseznampoudarek4">
    <w:name w:val="Dark List Accent 4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emenseznampoudarek5">
    <w:name w:val="Dark List Accent 5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emenseznampoudarek6">
    <w:name w:val="Dark List Accent 6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vnosenenje">
    <w:name w:val="Colorful Shading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1">
    <w:name w:val="Colorful Shading Accent 1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2">
    <w:name w:val="Colorful Shading Accent 2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3">
    <w:name w:val="Colorful Shading Accent 3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osenenjepoudarek4">
    <w:name w:val="Colorful Shading Accent 4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5">
    <w:name w:val="Colorful Shading Accent 5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6">
    <w:name w:val="Colorful Shading Accent 6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iseznam">
    <w:name w:val="Colorful List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vniseznampoudarek1">
    <w:name w:val="Colorful List Accent 1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vniseznampoudarek2">
    <w:name w:val="Colorful List Accent 2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venseznampoudarek3">
    <w:name w:val="Colorful List Accent 3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vniseznampoudarek4">
    <w:name w:val="Colorful List Accent 4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vniseznampoudarek5">
    <w:name w:val="Colorful List Accent 5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vniseznampoudarek6">
    <w:name w:val="Colorful List Accent 6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vnamrea">
    <w:name w:val="Colorful Grid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vnamreapoudarek1">
    <w:name w:val="Colorful Grid Accent 1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vnamreapoudarek2">
    <w:name w:val="Colorful Grid Accent 2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vnamreapoudarek3">
    <w:name w:val="Colorful Grid Accent 3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amreapoudarek4">
    <w:name w:val="Colorful Grid Accent 4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vnamreapoudarek5">
    <w:name w:val="Colorful Grid Accent 5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vnamreapoudarek6">
    <w:name w:val="Colorful Grid Accent 6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Romana Simonič</cp:lastModifiedBy>
  <cp:revision>2</cp:revision>
  <dcterms:created xsi:type="dcterms:W3CDTF">2026-07-30T10:55:00Z</dcterms:created>
  <dcterms:modified xsi:type="dcterms:W3CDTF">2026-07-30T10:55:00Z</dcterms:modified>
  <cp:category/>
</cp:coreProperties>
</file>